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300F" w14:textId="12602E5B" w:rsidR="002D3F76" w:rsidRPr="002E2CEE" w:rsidRDefault="002D3F76" w:rsidP="002D3F76"/>
    <w:p w14:paraId="10017C2E" w14:textId="77777777" w:rsidR="002D3F76" w:rsidRPr="002E2CEE" w:rsidRDefault="002D3F76" w:rsidP="00C55F8F">
      <w:pPr>
        <w:wordWrap w:val="0"/>
        <w:jc w:val="right"/>
      </w:pPr>
      <w:r w:rsidRPr="002E2CEE">
        <w:rPr>
          <w:rFonts w:hint="eastAsia"/>
        </w:rPr>
        <w:t xml:space="preserve">　　年　　月　　日</w:t>
      </w:r>
      <w:r w:rsidR="00C55F8F">
        <w:rPr>
          <w:rFonts w:hint="eastAsia"/>
        </w:rPr>
        <w:t xml:space="preserve">　</w:t>
      </w:r>
    </w:p>
    <w:p w14:paraId="2405A430" w14:textId="77777777" w:rsidR="002D3F76" w:rsidRPr="002E2CEE" w:rsidRDefault="002D3F76" w:rsidP="002D3F76">
      <w:pPr>
        <w:jc w:val="right"/>
      </w:pPr>
    </w:p>
    <w:p w14:paraId="0778971D" w14:textId="77777777" w:rsidR="002D3F76" w:rsidRPr="002E2CEE" w:rsidRDefault="002D3F76" w:rsidP="002D3F76">
      <w:pPr>
        <w:ind w:leftChars="1000" w:left="2100"/>
        <w:jc w:val="left"/>
      </w:pPr>
      <w:r w:rsidRPr="002E2CEE">
        <w:rPr>
          <w:rFonts w:hint="eastAsia"/>
        </w:rPr>
        <w:t xml:space="preserve">　　　　様</w:t>
      </w:r>
    </w:p>
    <w:p w14:paraId="3849E690" w14:textId="77777777" w:rsidR="002D3F76" w:rsidRPr="002E2CEE" w:rsidRDefault="002D3F76" w:rsidP="002D3F76">
      <w:pPr>
        <w:ind w:leftChars="1000" w:left="2100"/>
        <w:jc w:val="left"/>
      </w:pPr>
    </w:p>
    <w:p w14:paraId="061EF08B" w14:textId="77777777" w:rsidR="002D3F76" w:rsidRPr="002E2CEE" w:rsidRDefault="002D3F76" w:rsidP="002D3F76">
      <w:pPr>
        <w:jc w:val="center"/>
      </w:pPr>
      <w:r w:rsidRPr="002E2CEE">
        <w:rPr>
          <w:rFonts w:hint="eastAsia"/>
        </w:rPr>
        <w:t xml:space="preserve">　　　　　　　　　　　　　　　　　（耐震診断士）氏名　　　　　　　　　　</w:t>
      </w:r>
    </w:p>
    <w:p w14:paraId="6BFEA9E2" w14:textId="77777777" w:rsidR="002D3F76" w:rsidRPr="002E2CEE" w:rsidRDefault="002D3F76" w:rsidP="002D3F76"/>
    <w:p w14:paraId="23C83572" w14:textId="77777777" w:rsidR="002D3F76" w:rsidRPr="002E2CEE" w:rsidRDefault="002D3F76" w:rsidP="002D3F76">
      <w:pPr>
        <w:jc w:val="center"/>
      </w:pPr>
      <w:r w:rsidRPr="002E2CEE">
        <w:rPr>
          <w:rFonts w:hint="eastAsia"/>
        </w:rPr>
        <w:t>耐震</w:t>
      </w:r>
      <w:r w:rsidRPr="002E2CEE">
        <w:rPr>
          <w:rFonts w:hint="eastAsia"/>
          <w:kern w:val="0"/>
        </w:rPr>
        <w:t>診断</w:t>
      </w:r>
      <w:r w:rsidRPr="002E2CEE">
        <w:rPr>
          <w:rFonts w:hint="eastAsia"/>
        </w:rPr>
        <w:t>実施結果報告書</w:t>
      </w:r>
    </w:p>
    <w:p w14:paraId="52B71115" w14:textId="77777777" w:rsidR="002D3F76" w:rsidRPr="002E2CEE" w:rsidRDefault="002D3F76" w:rsidP="002D3F76">
      <w:pPr>
        <w:jc w:val="center"/>
      </w:pPr>
    </w:p>
    <w:p w14:paraId="54173515" w14:textId="77777777" w:rsidR="002D3F76" w:rsidRPr="002E2CEE" w:rsidRDefault="002D3F76" w:rsidP="002D3F76">
      <w:pPr>
        <w:ind w:left="283" w:hangingChars="135" w:hanging="283"/>
      </w:pPr>
      <w:r w:rsidRPr="002E2CEE">
        <w:rPr>
          <w:rFonts w:hint="eastAsia"/>
          <w:noProof/>
        </w:rPr>
        <mc:AlternateContent>
          <mc:Choice Requires="wps">
            <w:drawing>
              <wp:anchor distT="0" distB="0" distL="114300" distR="114300" simplePos="0" relativeHeight="251660288" behindDoc="0" locked="0" layoutInCell="1" allowOverlap="1" wp14:anchorId="2A40BFE9" wp14:editId="110F23F7">
                <wp:simplePos x="0" y="0"/>
                <wp:positionH relativeFrom="column">
                  <wp:posOffset>3134360</wp:posOffset>
                </wp:positionH>
                <wp:positionV relativeFrom="paragraph">
                  <wp:posOffset>610870</wp:posOffset>
                </wp:positionV>
                <wp:extent cx="90805" cy="438150"/>
                <wp:effectExtent l="5715" t="12700" r="8255" b="63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F38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46.8pt;margin-top:48.1pt;width:7.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">
                <v:textbox inset="5.85pt,.7pt,5.85pt,.7pt"/>
              </v:shape>
            </w:pict>
          </mc:Fallback>
        </mc:AlternateContent>
      </w:r>
      <w:r w:rsidRPr="002E2CEE">
        <w:rPr>
          <w:rFonts w:hint="eastAsia"/>
          <w:noProof/>
        </w:rPr>
        <mc:AlternateContent>
          <mc:Choice Requires="wps">
            <w:drawing>
              <wp:anchor distT="0" distB="0" distL="114300" distR="114300" simplePos="0" relativeHeight="251659264" behindDoc="0" locked="0" layoutInCell="1" allowOverlap="1" wp14:anchorId="0CE377CD" wp14:editId="0D77A860">
                <wp:simplePos x="0" y="0"/>
                <wp:positionH relativeFrom="column">
                  <wp:posOffset>1998345</wp:posOffset>
                </wp:positionH>
                <wp:positionV relativeFrom="paragraph">
                  <wp:posOffset>617220</wp:posOffset>
                </wp:positionV>
                <wp:extent cx="90805" cy="412750"/>
                <wp:effectExtent l="12700" t="9525" r="10795" b="63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2750"/>
                        </a:xfrm>
                        <a:prstGeom prst="leftBracket">
                          <a:avLst>
                            <a:gd name="adj" fmla="val 378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533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57.35pt;margin-top:48.6pt;width:7.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">
                <v:textbox inset="5.85pt,.7pt,5.85pt,.7pt"/>
              </v:shape>
            </w:pict>
          </mc:Fallback>
        </mc:AlternateContent>
      </w:r>
      <w:r w:rsidRPr="002E2CEE">
        <w:rPr>
          <w:rFonts w:hint="eastAsia"/>
        </w:rPr>
        <w:t xml:space="preserve">　　芳賀町木造住宅耐震</w:t>
      </w:r>
      <w:r w:rsidRPr="002E2CEE">
        <w:rPr>
          <w:rFonts w:hint="eastAsia"/>
          <w:kern w:val="0"/>
        </w:rPr>
        <w:t>診断士</w:t>
      </w:r>
      <w:r w:rsidRPr="002E2CEE">
        <w:rPr>
          <w:rFonts w:hint="eastAsia"/>
        </w:rPr>
        <w:t xml:space="preserve">派遣実施要綱第４条第１項に基づき耐震診断を実施した結果が建築物の耐震改修の促進に関する法律（平成７年法律第１２３号）第６条に規定する耐震関係規定又は地震に対する安全上これに準ずるものとして国土交通大臣が定める基準（平成１８年国土交通省告示第１８５号）に　</w:t>
      </w:r>
      <w:r w:rsidRPr="002E2CEE">
        <w:rPr>
          <w:rFonts w:hint="eastAsia"/>
        </w:rPr>
        <w:t xml:space="preserve"> </w:t>
      </w:r>
      <w:r w:rsidRPr="002E2CEE">
        <w:rPr>
          <w:rFonts w:hint="eastAsia"/>
        </w:rPr>
        <w:t>適合している</w:t>
      </w:r>
      <w:r w:rsidRPr="002E2CEE">
        <w:rPr>
          <w:rFonts w:hint="eastAsia"/>
        </w:rPr>
        <w:t xml:space="preserve"> </w:t>
      </w:r>
      <w:r w:rsidRPr="002E2CEE">
        <w:rPr>
          <w:rFonts w:hint="eastAsia"/>
        </w:rPr>
        <w:t xml:space="preserve">　　と判断されますので報告します。</w:t>
      </w:r>
    </w:p>
    <w:p w14:paraId="195C5A65" w14:textId="77777777" w:rsidR="002D3F76" w:rsidRPr="002E2CEE" w:rsidRDefault="002D3F76" w:rsidP="002D3F76">
      <w:r w:rsidRPr="002E2CEE">
        <w:rPr>
          <w:rFonts w:hint="eastAsia"/>
        </w:rPr>
        <w:t xml:space="preserve">　　　　　　　　　　　　　　　</w:t>
      </w:r>
      <w:r w:rsidRPr="002E2CEE">
        <w:rPr>
          <w:rFonts w:hint="eastAsia"/>
        </w:rPr>
        <w:t xml:space="preserve"> </w:t>
      </w:r>
      <w:r w:rsidRPr="002E2CEE">
        <w:t xml:space="preserve"> </w:t>
      </w:r>
      <w:r w:rsidRPr="002E2CEE">
        <w:rPr>
          <w:rFonts w:hint="eastAsia"/>
        </w:rPr>
        <w:t>適合していない</w:t>
      </w:r>
    </w:p>
    <w:p w14:paraId="0704A086" w14:textId="77777777" w:rsidR="002D3F76" w:rsidRPr="002E2CEE" w:rsidRDefault="002D3F76" w:rsidP="002D3F76"/>
    <w:p w14:paraId="578EE143" w14:textId="77777777" w:rsidR="002D3F76" w:rsidRPr="002E2CEE" w:rsidRDefault="002D3F76" w:rsidP="002D3F76">
      <w:pPr>
        <w:pStyle w:val="a3"/>
      </w:pPr>
      <w:r w:rsidRPr="002E2CEE">
        <w:rPr>
          <w:rFonts w:hint="eastAsia"/>
        </w:rPr>
        <w:t>記</w:t>
      </w:r>
    </w:p>
    <w:p w14:paraId="1F64A41A" w14:textId="77777777" w:rsidR="002D3F76" w:rsidRPr="002E2CEE" w:rsidRDefault="002D3F76" w:rsidP="002D3F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051"/>
      </w:tblGrid>
      <w:tr w:rsidR="002E2CEE" w:rsidRPr="002E2CEE" w14:paraId="129A8969" w14:textId="77777777" w:rsidTr="008176E2">
        <w:trPr>
          <w:trHeight w:val="840"/>
          <w:jc w:val="center"/>
        </w:trPr>
        <w:tc>
          <w:tcPr>
            <w:tcW w:w="2651" w:type="dxa"/>
            <w:vAlign w:val="center"/>
          </w:tcPr>
          <w:p w14:paraId="72F84E56" w14:textId="77777777" w:rsidR="002D3F76" w:rsidRPr="002E2CEE" w:rsidRDefault="002D3F76" w:rsidP="008176E2">
            <w:pPr>
              <w:jc w:val="left"/>
              <w:rPr>
                <w:kern w:val="0"/>
              </w:rPr>
            </w:pPr>
            <w:r w:rsidRPr="002E2CEE">
              <w:rPr>
                <w:rFonts w:hint="eastAsia"/>
                <w:kern w:val="0"/>
              </w:rPr>
              <w:t>１　建築物の所在地</w:t>
            </w:r>
          </w:p>
        </w:tc>
        <w:tc>
          <w:tcPr>
            <w:tcW w:w="6051" w:type="dxa"/>
            <w:vAlign w:val="center"/>
          </w:tcPr>
          <w:p w14:paraId="3AE231BA" w14:textId="77777777" w:rsidR="002D3F76" w:rsidRPr="002E2CEE" w:rsidRDefault="002D3F76" w:rsidP="008176E2">
            <w:pPr>
              <w:ind w:right="1680"/>
            </w:pPr>
          </w:p>
        </w:tc>
      </w:tr>
      <w:tr w:rsidR="002E2CEE" w:rsidRPr="002E2CEE" w14:paraId="24AB6BC3" w14:textId="77777777" w:rsidTr="008176E2">
        <w:trPr>
          <w:trHeight w:val="840"/>
          <w:jc w:val="center"/>
        </w:trPr>
        <w:tc>
          <w:tcPr>
            <w:tcW w:w="2651" w:type="dxa"/>
            <w:vAlign w:val="center"/>
          </w:tcPr>
          <w:p w14:paraId="4D9636A5" w14:textId="77777777" w:rsidR="002D3F76" w:rsidRPr="002E2CEE" w:rsidRDefault="002D3F76" w:rsidP="008176E2">
            <w:pPr>
              <w:jc w:val="left"/>
            </w:pPr>
            <w:r w:rsidRPr="002E2CEE">
              <w:rPr>
                <w:rFonts w:hint="eastAsia"/>
                <w:kern w:val="0"/>
              </w:rPr>
              <w:t>２　構造</w:t>
            </w:r>
            <w:r w:rsidRPr="002E2CEE">
              <w:rPr>
                <w:rFonts w:hint="eastAsia"/>
                <w:kern w:val="0"/>
              </w:rPr>
              <w:t>.</w:t>
            </w:r>
            <w:r w:rsidRPr="002E2CEE">
              <w:rPr>
                <w:rFonts w:hint="eastAsia"/>
                <w:kern w:val="0"/>
              </w:rPr>
              <w:t>階数</w:t>
            </w:r>
            <w:r w:rsidRPr="002E2CEE">
              <w:rPr>
                <w:rFonts w:hint="eastAsia"/>
                <w:kern w:val="0"/>
              </w:rPr>
              <w:t>.</w:t>
            </w:r>
            <w:r w:rsidRPr="002E2CEE">
              <w:rPr>
                <w:rFonts w:hint="eastAsia"/>
                <w:kern w:val="0"/>
              </w:rPr>
              <w:t>延べ床面積</w:t>
            </w:r>
          </w:p>
        </w:tc>
        <w:tc>
          <w:tcPr>
            <w:tcW w:w="6051" w:type="dxa"/>
            <w:vAlign w:val="center"/>
          </w:tcPr>
          <w:p w14:paraId="16BB25F2" w14:textId="77777777" w:rsidR="002D3F76" w:rsidRPr="002E2CEE" w:rsidRDefault="002D3F76" w:rsidP="008176E2">
            <w:r w:rsidRPr="002E2CEE">
              <w:rPr>
                <w:rFonts w:hint="eastAsia"/>
              </w:rPr>
              <w:t>構造　　　　階数　　　　延べ床面積</w:t>
            </w:r>
          </w:p>
        </w:tc>
      </w:tr>
      <w:tr w:rsidR="002E2CEE" w:rsidRPr="002E2CEE" w14:paraId="45EA7EAD" w14:textId="77777777" w:rsidTr="008176E2">
        <w:trPr>
          <w:trHeight w:val="840"/>
          <w:jc w:val="center"/>
        </w:trPr>
        <w:tc>
          <w:tcPr>
            <w:tcW w:w="2651" w:type="dxa"/>
            <w:vAlign w:val="center"/>
          </w:tcPr>
          <w:p w14:paraId="5F51F02E" w14:textId="77777777" w:rsidR="002D3F76" w:rsidRPr="002E2CEE" w:rsidRDefault="002D3F76" w:rsidP="008176E2">
            <w:pPr>
              <w:jc w:val="left"/>
              <w:rPr>
                <w:kern w:val="0"/>
              </w:rPr>
            </w:pPr>
            <w:r w:rsidRPr="002E2CEE">
              <w:rPr>
                <w:rFonts w:hint="eastAsia"/>
                <w:kern w:val="0"/>
              </w:rPr>
              <w:t>３　現地調査日</w:t>
            </w:r>
          </w:p>
        </w:tc>
        <w:tc>
          <w:tcPr>
            <w:tcW w:w="6051" w:type="dxa"/>
            <w:vAlign w:val="center"/>
          </w:tcPr>
          <w:p w14:paraId="6577F478" w14:textId="77777777" w:rsidR="002D3F76" w:rsidRPr="002E2CEE" w:rsidRDefault="002D3F76" w:rsidP="008176E2">
            <w:r w:rsidRPr="002E2CEE">
              <w:rPr>
                <w:rFonts w:hint="eastAsia"/>
              </w:rPr>
              <w:t xml:space="preserve">　　　　年　　　　　月　　　　　日</w:t>
            </w:r>
          </w:p>
        </w:tc>
      </w:tr>
      <w:tr w:rsidR="002E2CEE" w:rsidRPr="002E2CEE" w14:paraId="13FB40F7" w14:textId="77777777" w:rsidTr="008176E2">
        <w:trPr>
          <w:trHeight w:val="840"/>
          <w:jc w:val="center"/>
        </w:trPr>
        <w:tc>
          <w:tcPr>
            <w:tcW w:w="2651" w:type="dxa"/>
            <w:vAlign w:val="center"/>
          </w:tcPr>
          <w:p w14:paraId="500A9FF1" w14:textId="77777777" w:rsidR="002D3F76" w:rsidRPr="002E2CEE" w:rsidRDefault="002D3F76" w:rsidP="008176E2">
            <w:pPr>
              <w:jc w:val="left"/>
              <w:rPr>
                <w:kern w:val="0"/>
              </w:rPr>
            </w:pPr>
            <w:r w:rsidRPr="002E2CEE">
              <w:rPr>
                <w:rFonts w:hint="eastAsia"/>
                <w:kern w:val="0"/>
              </w:rPr>
              <w:t>４　診断方法</w:t>
            </w:r>
          </w:p>
        </w:tc>
        <w:tc>
          <w:tcPr>
            <w:tcW w:w="6051" w:type="dxa"/>
            <w:vAlign w:val="center"/>
          </w:tcPr>
          <w:p w14:paraId="42A6CC5F" w14:textId="77777777" w:rsidR="002D3F76" w:rsidRPr="002E2CEE" w:rsidRDefault="002D3F76" w:rsidP="008176E2"/>
        </w:tc>
      </w:tr>
      <w:tr w:rsidR="002D3F76" w:rsidRPr="002E2CEE" w14:paraId="4608ACAA" w14:textId="77777777" w:rsidTr="008176E2">
        <w:trPr>
          <w:trHeight w:val="1958"/>
          <w:jc w:val="center"/>
        </w:trPr>
        <w:tc>
          <w:tcPr>
            <w:tcW w:w="2651" w:type="dxa"/>
            <w:vAlign w:val="center"/>
          </w:tcPr>
          <w:p w14:paraId="28F7FF26" w14:textId="77777777" w:rsidR="002D3F76" w:rsidRPr="002E2CEE" w:rsidRDefault="002D3F76" w:rsidP="008176E2">
            <w:pPr>
              <w:jc w:val="left"/>
            </w:pPr>
            <w:r w:rsidRPr="002E2CEE">
              <w:rPr>
                <w:rFonts w:hint="eastAsia"/>
                <w:kern w:val="0"/>
              </w:rPr>
              <w:t>５　実施結果</w:t>
            </w:r>
          </w:p>
        </w:tc>
        <w:tc>
          <w:tcPr>
            <w:tcW w:w="6051" w:type="dxa"/>
            <w:vAlign w:val="center"/>
          </w:tcPr>
          <w:p w14:paraId="4D043037" w14:textId="77777777" w:rsidR="002D3F76" w:rsidRPr="002E2CEE" w:rsidRDefault="002D3F76" w:rsidP="008176E2">
            <w:r w:rsidRPr="002E2CEE">
              <w:rPr>
                <w:rFonts w:hint="eastAsia"/>
              </w:rPr>
              <w:t>上部構造評点の最小値　（　　　　　　）</w:t>
            </w:r>
          </w:p>
          <w:p w14:paraId="34BA9EE6" w14:textId="77777777" w:rsidR="002D3F76" w:rsidRPr="002E2CEE" w:rsidRDefault="002D3F76" w:rsidP="008176E2">
            <w:pPr>
              <w:ind w:firstLineChars="100" w:firstLine="210"/>
            </w:pPr>
            <w:r w:rsidRPr="002E2CEE">
              <w:rPr>
                <w:rFonts w:hint="eastAsia"/>
              </w:rPr>
              <w:t>1</w:t>
            </w:r>
            <w:r w:rsidRPr="002E2CEE">
              <w:t>.5</w:t>
            </w:r>
            <w:r w:rsidRPr="002E2CEE">
              <w:rPr>
                <w:rFonts w:hint="eastAsia"/>
              </w:rPr>
              <w:t xml:space="preserve">以上：　　</w:t>
            </w:r>
            <w:r w:rsidRPr="002E2CEE">
              <w:rPr>
                <w:rFonts w:hint="eastAsia"/>
              </w:rPr>
              <w:t xml:space="preserve"> </w:t>
            </w:r>
            <w:r w:rsidRPr="002E2CEE">
              <w:rPr>
                <w:rFonts w:hint="eastAsia"/>
              </w:rPr>
              <w:t>倒壊しない</w:t>
            </w:r>
          </w:p>
          <w:p w14:paraId="766EAD20" w14:textId="77777777" w:rsidR="002D3F76" w:rsidRPr="002E2CEE" w:rsidRDefault="002D3F76" w:rsidP="008176E2">
            <w:pPr>
              <w:ind w:firstLineChars="100" w:firstLine="210"/>
            </w:pPr>
            <w:r w:rsidRPr="002E2CEE">
              <w:rPr>
                <w:rFonts w:hint="eastAsia"/>
              </w:rPr>
              <w:t>1</w:t>
            </w:r>
            <w:r w:rsidRPr="002E2CEE">
              <w:t>.0</w:t>
            </w:r>
            <w:r w:rsidRPr="002E2CEE">
              <w:rPr>
                <w:rFonts w:hint="eastAsia"/>
              </w:rPr>
              <w:t>～</w:t>
            </w:r>
            <w:r w:rsidRPr="002E2CEE">
              <w:rPr>
                <w:rFonts w:hint="eastAsia"/>
              </w:rPr>
              <w:t>1</w:t>
            </w:r>
            <w:r w:rsidRPr="002E2CEE">
              <w:t>.5</w:t>
            </w:r>
            <w:r w:rsidRPr="002E2CEE">
              <w:rPr>
                <w:rFonts w:hint="eastAsia"/>
              </w:rPr>
              <w:t>未満：一応倒壊しない</w:t>
            </w:r>
          </w:p>
          <w:p w14:paraId="0EF4A116" w14:textId="77777777" w:rsidR="002D3F76" w:rsidRPr="002E2CEE" w:rsidRDefault="002D3F76" w:rsidP="008176E2">
            <w:pPr>
              <w:ind w:firstLineChars="100" w:firstLine="210"/>
            </w:pPr>
            <w:r w:rsidRPr="002E2CEE">
              <w:rPr>
                <w:rFonts w:hint="eastAsia"/>
              </w:rPr>
              <w:t>0</w:t>
            </w:r>
            <w:r w:rsidRPr="002E2CEE">
              <w:t>.7</w:t>
            </w:r>
            <w:r w:rsidRPr="002E2CEE">
              <w:rPr>
                <w:rFonts w:hint="eastAsia"/>
              </w:rPr>
              <w:t>～</w:t>
            </w:r>
            <w:r w:rsidRPr="002E2CEE">
              <w:rPr>
                <w:rFonts w:hint="eastAsia"/>
              </w:rPr>
              <w:t>1</w:t>
            </w:r>
            <w:r w:rsidRPr="002E2CEE">
              <w:t>.0</w:t>
            </w:r>
            <w:r w:rsidRPr="002E2CEE">
              <w:rPr>
                <w:rFonts w:hint="eastAsia"/>
              </w:rPr>
              <w:t>未満：倒壊する可能性がある</w:t>
            </w:r>
          </w:p>
          <w:p w14:paraId="59D4713A" w14:textId="77777777" w:rsidR="002D3F76" w:rsidRPr="002E2CEE" w:rsidRDefault="002D3F76" w:rsidP="008176E2">
            <w:pPr>
              <w:ind w:firstLineChars="100" w:firstLine="210"/>
            </w:pPr>
            <w:r w:rsidRPr="002E2CEE">
              <w:rPr>
                <w:rFonts w:hint="eastAsia"/>
              </w:rPr>
              <w:t>0</w:t>
            </w:r>
            <w:r w:rsidRPr="002E2CEE">
              <w:t>.7</w:t>
            </w:r>
            <w:r w:rsidRPr="002E2CEE">
              <w:rPr>
                <w:rFonts w:hint="eastAsia"/>
              </w:rPr>
              <w:t xml:space="preserve">未満：　　</w:t>
            </w:r>
            <w:r w:rsidRPr="002E2CEE">
              <w:rPr>
                <w:rFonts w:hint="eastAsia"/>
              </w:rPr>
              <w:t xml:space="preserve"> </w:t>
            </w:r>
            <w:r w:rsidRPr="002E2CEE">
              <w:rPr>
                <w:rFonts w:hint="eastAsia"/>
              </w:rPr>
              <w:t>倒壊する可能性が高い</w:t>
            </w:r>
          </w:p>
        </w:tc>
      </w:tr>
    </w:tbl>
    <w:p w14:paraId="55D4D37E" w14:textId="77777777" w:rsidR="002D3F76" w:rsidRPr="002E2CEE" w:rsidRDefault="002D3F76" w:rsidP="002D3F76"/>
    <w:p w14:paraId="60C26B87" w14:textId="77777777" w:rsidR="002D3F76" w:rsidRPr="002E2CEE" w:rsidRDefault="00161542" w:rsidP="00161542">
      <w:r w:rsidRPr="002E2CEE">
        <w:t xml:space="preserve"> </w:t>
      </w:r>
    </w:p>
    <w:p w14:paraId="1DA40352" w14:textId="77777777" w:rsidR="0050019A" w:rsidRDefault="0050019A"/>
    <w:p w14:paraId="38201C22" w14:textId="77777777" w:rsidR="00560A7D" w:rsidRDefault="00560A7D"/>
    <w:p w14:paraId="42E418CC" w14:textId="77777777" w:rsidR="00560A7D" w:rsidRDefault="00560A7D"/>
    <w:p w14:paraId="439818C9" w14:textId="77777777" w:rsidR="00560A7D" w:rsidRDefault="00560A7D"/>
    <w:p w14:paraId="3CFBA638" w14:textId="77777777" w:rsidR="00560A7D" w:rsidRDefault="00560A7D"/>
    <w:p w14:paraId="1D248BF6" w14:textId="77777777" w:rsidR="00560A7D" w:rsidRDefault="00560A7D"/>
    <w:p w14:paraId="1E1A1923" w14:textId="77777777" w:rsidR="00560A7D" w:rsidRDefault="00560A7D"/>
    <w:p w14:paraId="6A43131A" w14:textId="77777777" w:rsidR="00560A7D" w:rsidRPr="00560A7D" w:rsidRDefault="00560A7D"/>
    <w:sectPr w:rsidR="00560A7D" w:rsidRPr="00560A7D" w:rsidSect="00880A55">
      <w:headerReference w:type="default" r:id="rId7"/>
      <w:headerReference w:type="first" r:id="rId8"/>
      <w:pgSz w:w="11906" w:h="16838" w:code="9"/>
      <w:pgMar w:top="1134" w:right="1418" w:bottom="1418" w:left="1418" w:header="720" w:footer="720" w:gutter="0"/>
      <w:paperSrc w:first="7" w:other="7"/>
      <w:cols w:space="425"/>
      <w:noEndnote/>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9638" w14:textId="77777777" w:rsidR="00827C3B" w:rsidRDefault="00827C3B">
      <w:r>
        <w:separator/>
      </w:r>
    </w:p>
  </w:endnote>
  <w:endnote w:type="continuationSeparator" w:id="0">
    <w:p w14:paraId="5B22B4A5" w14:textId="77777777" w:rsidR="00827C3B" w:rsidRDefault="0082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DFB4" w14:textId="77777777" w:rsidR="00827C3B" w:rsidRDefault="00827C3B">
      <w:r>
        <w:separator/>
      </w:r>
    </w:p>
  </w:footnote>
  <w:footnote w:type="continuationSeparator" w:id="0">
    <w:p w14:paraId="23555AB1" w14:textId="77777777" w:rsidR="00827C3B" w:rsidRDefault="0082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4E5C" w14:textId="77777777" w:rsidR="00DF31C7" w:rsidRPr="00A43FA1" w:rsidRDefault="002D3F76" w:rsidP="00DF31C7">
    <w:pPr>
      <w:pStyle w:val="a5"/>
      <w:jc w:val="right"/>
      <w:rPr>
        <w:rFonts w:ascii="ＭＳ ゴシック" w:eastAsia="ＭＳ ゴシック" w:hAnsi="ＭＳ ゴシック"/>
        <w:sz w:val="28"/>
        <w:szCs w:val="28"/>
      </w:rPr>
    </w:pPr>
    <w:r w:rsidRPr="00A43FA1">
      <w:rPr>
        <w:rFonts w:ascii="ＭＳ ゴシック" w:eastAsia="ＭＳ ゴシック" w:hAnsi="ＭＳ ゴシック" w:hint="eastAsia"/>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9680" w14:textId="77777777" w:rsidR="00880A55" w:rsidRDefault="00000000" w:rsidP="00880A5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368"/>
    <w:multiLevelType w:val="hybridMultilevel"/>
    <w:tmpl w:val="C7B4EE9E"/>
    <w:lvl w:ilvl="0" w:tplc="BF0476DE">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4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76"/>
    <w:rsid w:val="00161542"/>
    <w:rsid w:val="002115B7"/>
    <w:rsid w:val="002D3F76"/>
    <w:rsid w:val="002E2CEE"/>
    <w:rsid w:val="00317873"/>
    <w:rsid w:val="0050019A"/>
    <w:rsid w:val="00560A7D"/>
    <w:rsid w:val="00827C3B"/>
    <w:rsid w:val="008A31E1"/>
    <w:rsid w:val="009B58F0"/>
    <w:rsid w:val="00C54896"/>
    <w:rsid w:val="00C55F8F"/>
    <w:rsid w:val="00CA520D"/>
    <w:rsid w:val="00E351D9"/>
    <w:rsid w:val="00FD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B7FDA"/>
  <w15:chartTrackingRefBased/>
  <w15:docId w15:val="{0892EC3E-16C9-4783-84C7-306E2A25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F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D3F76"/>
    <w:pPr>
      <w:jc w:val="center"/>
    </w:pPr>
  </w:style>
  <w:style w:type="character" w:customStyle="1" w:styleId="a4">
    <w:name w:val="記 (文字)"/>
    <w:basedOn w:val="a0"/>
    <w:link w:val="a3"/>
    <w:rsid w:val="002D3F76"/>
    <w:rPr>
      <w:rFonts w:ascii="Century" w:eastAsia="ＭＳ 明朝" w:hAnsi="Century" w:cs="Times New Roman"/>
      <w:szCs w:val="24"/>
    </w:rPr>
  </w:style>
  <w:style w:type="paragraph" w:styleId="a5">
    <w:name w:val="header"/>
    <w:basedOn w:val="a"/>
    <w:link w:val="a6"/>
    <w:uiPriority w:val="99"/>
    <w:unhideWhenUsed/>
    <w:rsid w:val="002D3F76"/>
    <w:pPr>
      <w:tabs>
        <w:tab w:val="center" w:pos="4252"/>
        <w:tab w:val="right" w:pos="8504"/>
      </w:tabs>
      <w:snapToGrid w:val="0"/>
    </w:pPr>
  </w:style>
  <w:style w:type="character" w:customStyle="1" w:styleId="a6">
    <w:name w:val="ヘッダー (文字)"/>
    <w:basedOn w:val="a0"/>
    <w:link w:val="a5"/>
    <w:uiPriority w:val="99"/>
    <w:rsid w:val="002D3F76"/>
    <w:rPr>
      <w:rFonts w:ascii="Century" w:eastAsia="ＭＳ 明朝" w:hAnsi="Century" w:cs="Times New Roman"/>
      <w:szCs w:val="24"/>
    </w:rPr>
  </w:style>
  <w:style w:type="paragraph" w:styleId="a7">
    <w:name w:val="footer"/>
    <w:basedOn w:val="a"/>
    <w:link w:val="a8"/>
    <w:uiPriority w:val="99"/>
    <w:unhideWhenUsed/>
    <w:rsid w:val="00E351D9"/>
    <w:pPr>
      <w:tabs>
        <w:tab w:val="center" w:pos="4252"/>
        <w:tab w:val="right" w:pos="8504"/>
      </w:tabs>
      <w:snapToGrid w:val="0"/>
    </w:pPr>
  </w:style>
  <w:style w:type="character" w:customStyle="1" w:styleId="a8">
    <w:name w:val="フッター (文字)"/>
    <w:basedOn w:val="a0"/>
    <w:link w:val="a7"/>
    <w:uiPriority w:val="99"/>
    <w:rsid w:val="00E351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12</cp:revision>
  <dcterms:created xsi:type="dcterms:W3CDTF">2023-03-20T08:10:00Z</dcterms:created>
  <dcterms:modified xsi:type="dcterms:W3CDTF">2023-07-12T00:44:00Z</dcterms:modified>
</cp:coreProperties>
</file>